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pBdr/>
        <w:bidi w:val="0"/>
        <w:spacing w:lineRule="auto" w:line="336" w:before="0" w:after="0"/>
        <w:ind w:left="0" w:right="0" w:hanging="0"/>
        <w:jc w:val="right"/>
        <w:rPr>
          <w:rFonts w:ascii="Alef" w:hAnsi="Alef"/>
          <w:b/>
          <w:bCs/>
          <w:i w:val="false"/>
          <w:caps w:val="false"/>
          <w:smallCaps w:val="false"/>
          <w:color w:val="222222"/>
          <w:sz w:val="26"/>
          <w:szCs w:val="26"/>
        </w:rPr>
      </w:pPr>
      <w:r>
        <w:rPr>
          <w:rFonts w:ascii="Alef" w:hAnsi="Alef"/>
          <w:b/>
          <w:bCs/>
          <w:i w:val="false"/>
          <w:caps w:val="false"/>
          <w:smallCaps w:val="false"/>
          <w:color w:val="222222"/>
          <w:sz w:val="26"/>
          <w:szCs w:val="26"/>
        </w:rPr>
        <w:drawing>
          <wp:inline distT="0" distB="0" distL="0" distR="0">
            <wp:extent cx="1878965" cy="792480"/>
            <wp:effectExtent l="0" t="0" r="0" b="0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lef" w:hAnsi="Alef"/>
          <w:b/>
          <w:bCs/>
          <w:i w:val="false"/>
          <w:caps w:val="false"/>
          <w:smallCaps w:val="false"/>
          <w:color w:val="222222"/>
          <w:sz w:val="26"/>
          <w:szCs w:val="26"/>
        </w:rPr>
      </w:pPr>
      <w:r>
        <w:rPr>
          <w:rFonts w:ascii="Alef" w:hAnsi="Alef"/>
          <w:b/>
          <w:bCs/>
          <w:i w:val="false"/>
          <w:caps w:val="false"/>
          <w:smallCaps w:val="false"/>
          <w:color w:val="222222"/>
          <w:sz w:val="26"/>
          <w:szCs w:val="26"/>
        </w:rPr>
      </w:r>
    </w:p>
    <w:p>
      <w:pPr>
        <w:pStyle w:val="Heading1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lef" w:hAnsi="Alef"/>
          <w:b/>
          <w:bCs/>
          <w:i w:val="false"/>
          <w:caps w:val="false"/>
          <w:smallCaps w:val="false"/>
          <w:color w:val="222222"/>
          <w:sz w:val="26"/>
          <w:szCs w:val="26"/>
        </w:rPr>
      </w:pPr>
      <w:r>
        <w:rPr>
          <w:rFonts w:ascii="Alef" w:hAnsi="Alef"/>
          <w:b/>
          <w:bCs/>
          <w:i w:val="false"/>
          <w:caps w:val="false"/>
          <w:smallCaps w:val="false"/>
          <w:color w:val="222222"/>
          <w:sz w:val="26"/>
          <w:szCs w:val="26"/>
        </w:rPr>
        <w:t>COIL Support and Advice</w:t>
      </w:r>
    </w:p>
    <w:p>
      <w:pPr>
        <w:pStyle w:val="BodyText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Alef" w:hAnsi="Alef"/>
          <w:b/>
          <w:bCs/>
          <w:i w:val="false"/>
          <w:caps w:val="false"/>
          <w:smallCaps w:val="false"/>
          <w:color w:val="222222"/>
          <w:sz w:val="26"/>
          <w:szCs w:val="26"/>
        </w:rPr>
      </w:pPr>
      <w:r>
        <w:rPr>
          <w:rFonts w:ascii="Alef" w:hAnsi="Alef"/>
          <w:b/>
          <w:bCs/>
          <w:i w:val="false"/>
          <w:caps w:val="false"/>
          <w:smallCaps w:val="false"/>
          <w:color w:val="222222"/>
          <w:sz w:val="26"/>
          <w:szCs w:val="26"/>
        </w:rPr>
      </w:r>
    </w:p>
    <w:p>
      <w:pPr>
        <w:pStyle w:val="BodyText"/>
        <w:widowControl/>
        <w:pBdr/>
        <w:bidi w:val="0"/>
        <w:spacing w:before="0" w:after="0"/>
        <w:ind w:left="0" w:right="0" w:hanging="0"/>
        <w:jc w:val="left"/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Implementing COIL programs can be challenging for institutions and educators, especially in terms of tech infrastructure, curriculum development, and cross-cultural communication. Below you can find a range of support services and sources of advice that help will educators overcome the challenges associated with implementing COIL programs.</w:t>
      </w:r>
    </w:p>
    <w:p>
      <w:pPr>
        <w:pStyle w:val="Heading2"/>
        <w:widowControl/>
        <w:pBdr/>
        <w:bidi w:val="0"/>
        <w:spacing w:lineRule="auto" w:line="336" w:before="0" w:after="0"/>
        <w:ind w:left="0" w:right="0" w:hanging="0"/>
        <w:jc w:val="left"/>
        <w:rPr/>
      </w:pPr>
      <w:hyperlink r:id="rId3">
        <w:r>
          <w:rPr>
            <w:rStyle w:val="Hyperlink"/>
            <w:rFonts w:ascii="Alef" w:hAnsi="Alef"/>
            <w:b w:val="false"/>
            <w:i w:val="false"/>
            <w:caps w:val="false"/>
            <w:smallCaps w:val="false"/>
            <w:strike w:val="false"/>
            <w:dstrike w:val="false"/>
            <w:color w:val="D50C2F"/>
            <w:spacing w:val="0"/>
            <w:sz w:val="26"/>
            <w:szCs w:val="26"/>
            <w:u w:val="none"/>
            <w:effect w:val="none"/>
            <w:shd w:fill="auto" w:val="clear"/>
          </w:rPr>
          <w:t>COIL coordinators at the nine participating universities</w:t>
        </w:r>
      </w:hyperlink>
    </w:p>
    <w:p>
      <w:pPr>
        <w:pStyle w:val="BodyText"/>
        <w:widowControl/>
        <w:pBdr/>
        <w:bidi w:val="0"/>
        <w:spacing w:before="0" w:after="0"/>
        <w:ind w:left="0" w:right="0" w:hanging="0"/>
        <w:jc w:val="left"/>
        <w:rPr>
          <w:rFonts w:ascii="Alef" w:hAnsi="Ale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lef" w:hAnsi="Alef"/>
          <w:caps w:val="false"/>
          <w:smallCaps w:val="false"/>
          <w:color w:val="333333"/>
          <w:spacing w:val="0"/>
          <w:sz w:val="24"/>
          <w:szCs w:val="24"/>
        </w:rPr>
        <w:t xml:space="preserve">✓ </w:t>
      </w:r>
      <w:r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Advice on the conceptualization of COILs: potentials, special features, challenges &amp; practical examples</w:t>
      </w:r>
    </w:p>
    <w:p>
      <w:pPr>
        <w:pStyle w:val="BodyText"/>
        <w:widowControl/>
        <w:pBdr/>
        <w:bidi w:val="0"/>
        <w:spacing w:before="0" w:after="0"/>
        <w:ind w:left="0" w:right="0" w:hanging="0"/>
        <w:jc w:val="left"/>
        <w:rPr>
          <w:rFonts w:ascii="Alef" w:hAnsi="Ale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lef" w:hAnsi="Alef"/>
          <w:caps w:val="false"/>
          <w:smallCaps w:val="false"/>
          <w:color w:val="333333"/>
          <w:spacing w:val="0"/>
          <w:sz w:val="24"/>
          <w:szCs w:val="24"/>
        </w:rPr>
        <w:t xml:space="preserve">✓ </w:t>
      </w:r>
      <w:r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Support in the search for international partners</w:t>
      </w:r>
    </w:p>
    <w:p>
      <w:pPr>
        <w:pStyle w:val="BodyText"/>
        <w:widowControl/>
        <w:pBdr/>
        <w:bidi w:val="0"/>
        <w:spacing w:before="0" w:after="0"/>
        <w:ind w:left="0" w:right="0" w:hanging="0"/>
        <w:jc w:val="left"/>
        <w:rPr>
          <w:rFonts w:ascii="Alef" w:hAnsi="Ale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lef" w:hAnsi="Alef"/>
          <w:caps w:val="false"/>
          <w:smallCaps w:val="false"/>
          <w:color w:val="333333"/>
          <w:spacing w:val="0"/>
          <w:sz w:val="24"/>
          <w:szCs w:val="24"/>
        </w:rPr>
        <w:t xml:space="preserve">✓ </w:t>
      </w:r>
      <w:r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Advice on platforms and tools</w:t>
      </w:r>
    </w:p>
    <w:p>
      <w:pPr>
        <w:pStyle w:val="BodyText"/>
        <w:widowControl/>
        <w:pBdr/>
        <w:bidi w:val="0"/>
        <w:spacing w:before="0" w:after="0"/>
        <w:ind w:left="0" w:right="0" w:hanging="0"/>
        <w:jc w:val="left"/>
        <w:rPr>
          <w:rFonts w:ascii="Alef" w:hAnsi="Ale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lef" w:hAnsi="Alef"/>
          <w:caps w:val="false"/>
          <w:smallCaps w:val="false"/>
          <w:color w:val="333333"/>
          <w:spacing w:val="0"/>
          <w:sz w:val="24"/>
          <w:szCs w:val="24"/>
        </w:rPr>
        <w:t xml:space="preserve">✓ </w:t>
      </w:r>
      <w:r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Support with administrative issues</w:t>
      </w:r>
    </w:p>
    <w:p>
      <w:pPr>
        <w:pStyle w:val="BodyText"/>
        <w:widowControl/>
        <w:pBdr/>
        <w:bidi w:val="0"/>
        <w:spacing w:before="0" w:after="0"/>
        <w:ind w:left="0" w:right="0" w:hanging="0"/>
        <w:jc w:val="left"/>
        <w:rPr>
          <w:rFonts w:ascii="Alef" w:hAnsi="Ale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lef" w:hAnsi="Alef"/>
          <w:caps w:val="false"/>
          <w:smallCaps w:val="false"/>
          <w:color w:val="333333"/>
          <w:spacing w:val="0"/>
          <w:sz w:val="24"/>
          <w:szCs w:val="24"/>
        </w:rPr>
        <w:t xml:space="preserve">✓ </w:t>
      </w:r>
      <w:r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Support in the realization of physical mobilities</w:t>
      </w:r>
    </w:p>
    <w:p>
      <w:pPr>
        <w:pStyle w:val="BodyText"/>
        <w:widowControl/>
        <w:pBdr/>
        <w:bidi w:val="0"/>
        <w:spacing w:before="0" w:after="0"/>
        <w:ind w:left="0" w:right="0" w:hanging="0"/>
        <w:jc w:val="left"/>
        <w:rPr>
          <w:rFonts w:ascii="Alef" w:hAnsi="Alef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lef" w:hAnsi="Alef"/>
          <w:caps w:val="false"/>
          <w:smallCaps w:val="false"/>
          <w:color w:val="333333"/>
          <w:spacing w:val="0"/>
          <w:sz w:val="24"/>
          <w:szCs w:val="24"/>
        </w:rPr>
        <w:t xml:space="preserve">✓ </w:t>
      </w:r>
      <w:r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Advice on further sources of information</w:t>
      </w:r>
    </w:p>
    <w:p>
      <w:pPr>
        <w:pStyle w:val="Heading2"/>
        <w:widowControl/>
        <w:pBdr/>
        <w:bidi w:val="0"/>
        <w:spacing w:lineRule="auto" w:line="336" w:before="0" w:after="0"/>
        <w:ind w:left="0" w:right="0" w:hanging="0"/>
        <w:jc w:val="left"/>
        <w:rPr/>
      </w:pPr>
      <w:r>
        <w:rPr>
          <w:rFonts w:eastAsia="Noto Serif SC" w:cs="Noto Sans Devanagari" w:ascii="Alef" w:hAnsi="Alef"/>
          <w:b/>
          <w:bCs/>
          <w:i w:val="false"/>
          <w:caps w:val="false"/>
          <w:smallCaps w:val="false"/>
          <w:color w:val="222222"/>
          <w:sz w:val="26"/>
          <w:szCs w:val="26"/>
        </w:rPr>
        <w:t>Berlin Centre for Higher Education (BZHL): </w:t>
      </w:r>
      <w:hyperlink r:id="rId4" w:tgtFrame="_blank">
        <w:r>
          <w:rPr>
            <w:rStyle w:val="Hyperlink"/>
            <w:rFonts w:eastAsia="Noto Serif SC" w:cs="Noto Sans Devanagari" w:ascii="Alef" w:hAnsi="Alef"/>
            <w:b w:val="false"/>
            <w:bCs w:val="false"/>
            <w:i w:val="false"/>
            <w:caps w:val="false"/>
            <w:smallCaps w:val="false"/>
            <w:color w:val="222222"/>
            <w:sz w:val="26"/>
            <w:szCs w:val="26"/>
          </w:rPr>
          <w:t>Advice and job shadowing for educators</w:t>
        </w:r>
      </w:hyperlink>
    </w:p>
    <w:p>
      <w:pPr>
        <w:pStyle w:val="BodyText"/>
        <w:widowControl/>
        <w:pBdr/>
        <w:bidi w:val="0"/>
        <w:spacing w:before="0" w:after="0"/>
        <w:ind w:left="0" w:right="0" w:hanging="0"/>
        <w:jc w:val="left"/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Here you will find a range of options, which are conducted either in German or English:</w:t>
      </w:r>
    </w:p>
    <w:p>
      <w:pPr>
        <w:pStyle w:val="BodyText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"/>
          <w:rFonts w:ascii="Alef" w:hAnsi="Alef"/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>Open teaching consultation: </w:t>
      </w:r>
      <w:r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You can pose your individual concerns and questions about your teaching. The consultation can take place online, by phone or on site at the BZHL.</w:t>
      </w:r>
    </w:p>
    <w:p>
      <w:pPr>
        <w:pStyle w:val="BodyText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"/>
          <w:rFonts w:ascii="Alef" w:hAnsi="Alef"/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>Individual consulting on online teaching / moodle:</w:t>
      </w:r>
      <w:r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You will receive individual support with your online teaching and can work out possible solutions to challenges together with an expert.</w:t>
      </w:r>
    </w:p>
    <w:p>
      <w:pPr>
        <w:pStyle w:val="BodyText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"/>
          <w:rFonts w:ascii="Alef" w:hAnsi="Alef"/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>Teaching innovation project: </w:t>
      </w:r>
      <w:r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You will receive advice and support in the development and implementation of innovative teaching projects on site.</w:t>
      </w:r>
    </w:p>
    <w:p>
      <w:pPr>
        <w:pStyle w:val="BodyText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"/>
          <w:rFonts w:ascii="Alef" w:hAnsi="Alef"/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>Individual teaching visits: </w:t>
      </w:r>
      <w:r>
        <w:rPr>
          <w:rFonts w:ascii="Alef" w:hAnsi="Ale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Do you feel that you could present yourself even better in your teaching and would like support in doing so? Experienced practitioners at the BZHL will provide hands-on advice.</w:t>
      </w:r>
    </w:p>
    <w:p>
      <w:pPr>
        <w:pStyle w:val="Normal"/>
        <w:bidi w:val="0"/>
        <w:jc w:val="left"/>
        <w:rPr>
          <w:rFonts w:ascii="Alef" w:hAnsi="Alef"/>
          <w:sz w:val="24"/>
          <w:szCs w:val="24"/>
        </w:rPr>
      </w:pPr>
      <w:r>
        <w:rPr>
          <w:rFonts w:ascii="Alef" w:hAnsi="Alef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Alef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color w:val="000000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de-DE" w:eastAsia="zh-CN" w:bidi="hi-IN"/>
    </w:rPr>
  </w:style>
  <w:style w:type="paragraph" w:styleId="Heading1">
    <w:name w:val="Heading 1"/>
    <w:basedOn w:val="Berschrift"/>
    <w:next w:val="BodyText"/>
    <w:qFormat/>
    <w:pPr>
      <w:spacing w:before="240" w:after="120"/>
      <w:outlineLvl w:val="0"/>
    </w:pPr>
    <w:rPr>
      <w:rFonts w:ascii="Carlito" w:hAnsi="Carlito" w:eastAsia="Noto Serif SC" w:cs="Noto Sans Devanagari"/>
      <w:b/>
      <w:bCs/>
      <w:sz w:val="48"/>
      <w:szCs w:val="48"/>
    </w:rPr>
  </w:style>
  <w:style w:type="paragraph" w:styleId="Heading2">
    <w:name w:val="Heading 2"/>
    <w:basedOn w:val="Berschrift"/>
    <w:next w:val="BodyText"/>
    <w:qFormat/>
    <w:pPr>
      <w:spacing w:before="200" w:after="120"/>
      <w:outlineLvl w:val="1"/>
    </w:pPr>
    <w:rPr>
      <w:rFonts w:ascii="Carlito" w:hAnsi="Carlito" w:eastAsia="Noto Serif SC" w:cs="Noto Sans Devanagari"/>
      <w:b/>
      <w:bCs/>
      <w:sz w:val="36"/>
      <w:szCs w:val="36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283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blog.hwr-berlin.de/berliner-coil-verbund/participating-universities/" TargetMode="External"/><Relationship Id="rId4" Type="http://schemas.openxmlformats.org/officeDocument/2006/relationships/hyperlink" Target="https://www.tu.berlin/bzhl/services/beratung-hospitation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Collabora_Office/23.05.9.4$Linux_X86_64 LibreOffice_project/058ade62ea47bb84525b21a21df73c86ec4a363f</Application>
  <AppVersion>15.0000</AppVersion>
  <Pages>1</Pages>
  <Words>241</Words>
  <Characters>1384</Characters>
  <CharactersWithSpaces>1610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2024-08-19T06:58:57Z</dcterms:modified>
  <cp:revision>1</cp:revision>
  <dc:subject/>
  <dc:title/>
</cp:coreProperties>
</file>